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hint="default"/>
          <w:sz w:val="36"/>
          <w:szCs w:val="44"/>
          <w:highlight w:val="none"/>
          <w:lang w:val="en-US" w:eastAsia="zh-CN"/>
        </w:rPr>
      </w:pPr>
      <w:r>
        <w:rPr>
          <w:rFonts w:hint="eastAsia"/>
          <w:b/>
          <w:bCs/>
          <w:sz w:val="40"/>
          <w:szCs w:val="48"/>
          <w:highlight w:val="none"/>
          <w:lang w:val="en-US" w:eastAsia="zh-CN"/>
        </w:rPr>
        <w:t>2019-2020学年中南财经政法大学体育场馆非教学时段服务收费标准一览表</w:t>
      </w:r>
    </w:p>
    <w:p>
      <w:pPr>
        <w:shd w:val="clear"/>
        <w:jc w:val="both"/>
        <w:rPr>
          <w:rFonts w:hint="default"/>
          <w:sz w:val="32"/>
          <w:szCs w:val="40"/>
          <w:highlight w:val="none"/>
          <w:lang w:val="en-US" w:eastAsia="zh-CN"/>
        </w:rPr>
      </w:pPr>
      <w:r>
        <w:rPr>
          <w:rFonts w:hint="eastAsia"/>
          <w:sz w:val="32"/>
          <w:szCs w:val="40"/>
          <w:highlight w:val="none"/>
          <w:lang w:val="en-US" w:eastAsia="zh-CN"/>
        </w:rPr>
        <w:t>一、</w:t>
      </w:r>
      <w:r>
        <w:rPr>
          <w:rFonts w:hint="eastAsia"/>
          <w:b/>
          <w:bCs/>
          <w:sz w:val="32"/>
          <w:szCs w:val="40"/>
          <w:highlight w:val="none"/>
          <w:lang w:val="en-US" w:eastAsia="zh-CN"/>
        </w:rPr>
        <w:t xml:space="preserve">室内场馆（艺体中心、南湖体育馆）                                    </w:t>
      </w:r>
    </w:p>
    <w:tbl>
      <w:tblPr>
        <w:tblStyle w:val="3"/>
        <w:tblW w:w="144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1"/>
        <w:gridCol w:w="3008"/>
        <w:gridCol w:w="2672"/>
        <w:gridCol w:w="5"/>
        <w:gridCol w:w="2953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626" w:type="dxa"/>
            <w:gridSpan w:val="4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highlight w:val="none"/>
                <w:vertAlign w:val="baseline"/>
                <w:lang w:val="en-US" w:eastAsia="zh-CN"/>
              </w:rPr>
              <w:t>艺体中心</w:t>
            </w:r>
          </w:p>
        </w:tc>
        <w:tc>
          <w:tcPr>
            <w:tcW w:w="5866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bCs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highlight w:val="none"/>
                <w:vertAlign w:val="baseline"/>
                <w:lang w:val="en-US" w:eastAsia="zh-CN"/>
              </w:rPr>
              <w:t>南湖体育馆（首义体育馆）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941" w:type="dxa"/>
            <w:vAlign w:val="center"/>
          </w:tcPr>
          <w:p>
            <w:p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活动类型</w:t>
            </w:r>
          </w:p>
        </w:tc>
        <w:tc>
          <w:tcPr>
            <w:tcW w:w="3008" w:type="dxa"/>
            <w:vAlign w:val="center"/>
          </w:tcPr>
          <w:p>
            <w:p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校内（元/单元）</w:t>
            </w:r>
          </w:p>
        </w:tc>
        <w:tc>
          <w:tcPr>
            <w:tcW w:w="2672" w:type="dxa"/>
            <w:vAlign w:val="center"/>
          </w:tcPr>
          <w:p>
            <w:p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校外（元/单元）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校内（元/单元）</w:t>
            </w:r>
          </w:p>
        </w:tc>
        <w:tc>
          <w:tcPr>
            <w:tcW w:w="2913" w:type="dxa"/>
            <w:vAlign w:val="center"/>
          </w:tcPr>
          <w:p>
            <w:pPr>
              <w:shd w:val="clear"/>
              <w:jc w:val="center"/>
              <w:rPr>
                <w:sz w:val="22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校外（元/单元）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1" w:type="dxa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体育或其他比赛</w:t>
            </w:r>
          </w:p>
        </w:tc>
        <w:tc>
          <w:tcPr>
            <w:tcW w:w="3008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4000</w:t>
            </w:r>
          </w:p>
        </w:tc>
        <w:tc>
          <w:tcPr>
            <w:tcW w:w="2672" w:type="dxa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 xml:space="preserve">20000 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2913" w:type="dxa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 xml:space="preserve">6000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1" w:type="dxa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讲座</w:t>
            </w:r>
          </w:p>
        </w:tc>
        <w:tc>
          <w:tcPr>
            <w:tcW w:w="3008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2400</w:t>
            </w:r>
          </w:p>
        </w:tc>
        <w:tc>
          <w:tcPr>
            <w:tcW w:w="2672" w:type="dxa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 xml:space="preserve">12000 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800</w:t>
            </w:r>
          </w:p>
        </w:tc>
        <w:tc>
          <w:tcPr>
            <w:tcW w:w="2913" w:type="dxa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 xml:space="preserve">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1" w:type="dxa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企事业单位活动</w:t>
            </w:r>
          </w:p>
        </w:tc>
        <w:tc>
          <w:tcPr>
            <w:tcW w:w="3008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 xml:space="preserve">20000 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13" w:type="dxa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 xml:space="preserve">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1" w:type="dxa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商业演出</w:t>
            </w:r>
          </w:p>
        </w:tc>
        <w:tc>
          <w:tcPr>
            <w:tcW w:w="3008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6000</w:t>
            </w:r>
          </w:p>
        </w:tc>
        <w:tc>
          <w:tcPr>
            <w:tcW w:w="2672" w:type="dxa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30000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2913" w:type="dxa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1" w:type="dxa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招聘会</w:t>
            </w:r>
          </w:p>
        </w:tc>
        <w:tc>
          <w:tcPr>
            <w:tcW w:w="3008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3600</w:t>
            </w:r>
          </w:p>
        </w:tc>
        <w:tc>
          <w:tcPr>
            <w:tcW w:w="2672" w:type="dxa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18000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2913" w:type="dxa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41" w:type="dxa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院系活动</w:t>
            </w:r>
          </w:p>
        </w:tc>
        <w:tc>
          <w:tcPr>
            <w:tcW w:w="3008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3000</w:t>
            </w:r>
          </w:p>
        </w:tc>
        <w:tc>
          <w:tcPr>
            <w:tcW w:w="2672" w:type="dxa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58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2913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1156" w:tblpY="148"/>
        <w:tblOverlap w:val="never"/>
        <w:tblW w:w="14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4820" w:type="dxa"/>
            <w:vAlign w:val="center"/>
          </w:tcPr>
          <w:p>
            <w:pPr>
              <w:numPr>
                <w:numId w:val="0"/>
              </w:numPr>
              <w:shd w:val="clear"/>
              <w:ind w:leftChars="0"/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备注说明：</w:t>
            </w:r>
          </w:p>
          <w:p>
            <w:pPr>
              <w:numPr>
                <w:ilvl w:val="0"/>
                <w:numId w:val="1"/>
              </w:numPr>
              <w:shd w:val="clear"/>
              <w:ind w:left="425" w:leftChars="0" w:hanging="425" w:firstLineChars="0"/>
              <w:jc w:val="left"/>
              <w:rPr>
                <w:rFonts w:hint="default" w:ascii="仿宋_GB2312" w:eastAsia="仿宋_GB2312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以上体育馆在保障学校的大型活动、庆典外，其他学校各单位、学院（系）的活动实行租借服务，收费标准按照校内的收费标准，其中包含水电空调费用；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校外人员按照校外收费标准，借用艺体中心另收水电空调费1500元/小时。</w:t>
            </w:r>
          </w:p>
          <w:p>
            <w:pPr>
              <w:numPr>
                <w:ilvl w:val="0"/>
                <w:numId w:val="0"/>
              </w:numPr>
              <w:shd w:val="clear"/>
              <w:ind w:leftChars="0"/>
              <w:jc w:val="left"/>
              <w:rPr>
                <w:rFonts w:hint="default" w:ascii="仿宋_GB2312" w:eastAsia="仿宋_GB2312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2、以上费用是指包场的报价，单元时间是把一天分为三个单元，分别为上午8:00-12:00、下午14:00-18:00、晚上18:00-22:00三个单元。</w:t>
            </w:r>
          </w:p>
          <w:p>
            <w:pPr>
              <w:numPr>
                <w:ilvl w:val="0"/>
                <w:numId w:val="0"/>
              </w:numPr>
              <w:shd w:val="clear"/>
              <w:ind w:leftChars="0"/>
              <w:jc w:val="left"/>
              <w:rPr>
                <w:rFonts w:hint="default" w:ascii="仿宋_GB2312" w:eastAsia="仿宋_GB2312"/>
                <w:b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搭台、布场、彩排等活动需要提前进场，则按包场价的半价计算。</w:t>
            </w:r>
          </w:p>
          <w:p>
            <w:pPr>
              <w:numPr>
                <w:ilvl w:val="0"/>
                <w:numId w:val="0"/>
              </w:numPr>
              <w:shd w:val="clear"/>
              <w:jc w:val="both"/>
              <w:rPr>
                <w:rFonts w:hint="eastAsia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hd w:val="clear"/>
        <w:rPr>
          <w:rFonts w:hint="default"/>
          <w:highlight w:val="none"/>
          <w:lang w:val="en-US" w:eastAsia="zh-CN"/>
        </w:rPr>
        <w:sectPr>
          <w:pgSz w:w="16838" w:h="11906" w:orient="landscape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hd w:val="clear"/>
        <w:rPr>
          <w:rFonts w:hint="default"/>
          <w:sz w:val="4"/>
          <w:szCs w:val="8"/>
          <w:highlight w:val="none"/>
          <w:lang w:val="en-US" w:eastAsia="zh-CN"/>
        </w:rPr>
      </w:pPr>
      <w:r>
        <w:rPr>
          <w:rFonts w:hint="eastAsia"/>
          <w:sz w:val="4"/>
          <w:szCs w:val="8"/>
          <w:highlight w:val="none"/>
          <w:lang w:val="en-US" w:eastAsia="zh-CN"/>
        </w:rPr>
        <w:t xml:space="preserve">  </w:t>
      </w:r>
    </w:p>
    <w:p>
      <w:pPr>
        <w:numPr>
          <w:ilvl w:val="0"/>
          <w:numId w:val="2"/>
        </w:numPr>
        <w:shd w:val="clear"/>
        <w:jc w:val="both"/>
        <w:rPr>
          <w:rFonts w:hint="default"/>
          <w:sz w:val="36"/>
          <w:szCs w:val="44"/>
          <w:highlight w:val="none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44"/>
          <w:highlight w:val="none"/>
          <w:lang w:val="en-US" w:eastAsia="zh-CN"/>
        </w:rPr>
        <w:t>体育场</w:t>
      </w:r>
      <w:r>
        <w:rPr>
          <w:rFonts w:hint="eastAsia"/>
          <w:sz w:val="36"/>
          <w:szCs w:val="44"/>
          <w:highlight w:val="none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Spec="center" w:tblpY="200"/>
        <w:tblOverlap w:val="never"/>
        <w:tblW w:w="14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3"/>
        <w:gridCol w:w="2160"/>
        <w:gridCol w:w="2340"/>
        <w:gridCol w:w="2790"/>
        <w:gridCol w:w="1920"/>
        <w:gridCol w:w="1832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383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活动类型（校外）</w:t>
            </w:r>
          </w:p>
        </w:tc>
        <w:tc>
          <w:tcPr>
            <w:tcW w:w="216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新体育中心</w:t>
            </w:r>
          </w:p>
        </w:tc>
        <w:tc>
          <w:tcPr>
            <w:tcW w:w="234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风雨操场</w:t>
            </w:r>
          </w:p>
        </w:tc>
        <w:tc>
          <w:tcPr>
            <w:tcW w:w="279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环湖足球场</w:t>
            </w: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大运场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南操场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383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体育比赛（元/单元）</w:t>
            </w:r>
          </w:p>
        </w:tc>
        <w:tc>
          <w:tcPr>
            <w:tcW w:w="216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10000</w:t>
            </w:r>
          </w:p>
        </w:tc>
        <w:tc>
          <w:tcPr>
            <w:tcW w:w="234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5000</w:t>
            </w:r>
          </w:p>
        </w:tc>
        <w:tc>
          <w:tcPr>
            <w:tcW w:w="279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8000</w:t>
            </w: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10000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383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足球包场（元/2小时）</w:t>
            </w:r>
          </w:p>
        </w:tc>
        <w:tc>
          <w:tcPr>
            <w:tcW w:w="216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 xml:space="preserve">4000 </w:t>
            </w:r>
          </w:p>
        </w:tc>
        <w:tc>
          <w:tcPr>
            <w:tcW w:w="234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279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3000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同五人制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03" w:hRule="atLeast"/>
          <w:jc w:val="center"/>
        </w:trPr>
        <w:tc>
          <w:tcPr>
            <w:tcW w:w="383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商业演出（元/单元）</w:t>
            </w:r>
          </w:p>
        </w:tc>
        <w:tc>
          <w:tcPr>
            <w:tcW w:w="216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80000</w:t>
            </w:r>
          </w:p>
        </w:tc>
        <w:tc>
          <w:tcPr>
            <w:tcW w:w="234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30000</w:t>
            </w:r>
          </w:p>
        </w:tc>
        <w:tc>
          <w:tcPr>
            <w:tcW w:w="279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50000</w:t>
            </w: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60000</w:t>
            </w:r>
          </w:p>
        </w:tc>
        <w:tc>
          <w:tcPr>
            <w:tcW w:w="1832" w:type="dxa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shd w:val="clear" w:fill="FFFF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44" w:hRule="atLeast"/>
          <w:jc w:val="center"/>
        </w:trPr>
        <w:tc>
          <w:tcPr>
            <w:tcW w:w="383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社区活动（元/单元）</w:t>
            </w:r>
          </w:p>
        </w:tc>
        <w:tc>
          <w:tcPr>
            <w:tcW w:w="216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7500</w:t>
            </w:r>
          </w:p>
        </w:tc>
        <w:tc>
          <w:tcPr>
            <w:tcW w:w="234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6000</w:t>
            </w:r>
          </w:p>
        </w:tc>
        <w:tc>
          <w:tcPr>
            <w:tcW w:w="279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6000</w:t>
            </w: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7500</w:t>
            </w:r>
          </w:p>
        </w:tc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2504" w:hRule="atLeast"/>
          <w:jc w:val="center"/>
        </w:trPr>
        <w:tc>
          <w:tcPr>
            <w:tcW w:w="1487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Chars="0"/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备注说明：</w:t>
            </w:r>
          </w:p>
          <w:p>
            <w:pPr>
              <w:numPr>
                <w:ilvl w:val="0"/>
                <w:numId w:val="0"/>
              </w:numPr>
              <w:shd w:val="clear"/>
              <w:ind w:leftChars="0"/>
              <w:jc w:val="left"/>
              <w:rPr>
                <w:rFonts w:hint="default" w:ascii="仿宋_GB2312" w:eastAsia="仿宋_GB2312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 xml:space="preserve">1、以上费用是指校外人员包场的报价，校内个单位的活动免费。 </w:t>
            </w:r>
          </w:p>
          <w:p>
            <w:pPr>
              <w:numPr>
                <w:ilvl w:val="0"/>
                <w:numId w:val="0"/>
              </w:numPr>
              <w:shd w:val="clear"/>
              <w:ind w:leftChars="0"/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2、单元时间是把一天分为三个单元，分别为上午8:00-12:00、下午14:00-18:00、晚上18:00-22:00三个单元。</w:t>
            </w:r>
          </w:p>
          <w:p>
            <w:pPr>
              <w:numPr>
                <w:ilvl w:val="0"/>
                <w:numId w:val="0"/>
              </w:numPr>
              <w:shd w:val="clear"/>
              <w:ind w:leftChars="0"/>
              <w:jc w:val="left"/>
              <w:rPr>
                <w:rFonts w:hint="eastAsia" w:ascii="仿宋_GB2312" w:eastAsia="仿宋_GB2312"/>
                <w:b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3、搭台、布场、彩排等活动需要提前进场，则按包场价的半价计算。</w:t>
            </w:r>
          </w:p>
          <w:p>
            <w:pPr>
              <w:numPr>
                <w:ilvl w:val="0"/>
                <w:numId w:val="0"/>
              </w:numPr>
              <w:shd w:val="clear"/>
              <w:ind w:leftChars="0"/>
              <w:jc w:val="left"/>
              <w:rPr>
                <w:rFonts w:hint="default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4、新体灯光500元/小时，环湖足球场11人制灯光100元/小时，5人制、7人制50元/小时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  <w:t>。</w:t>
            </w:r>
          </w:p>
        </w:tc>
      </w:tr>
    </w:tbl>
    <w:p>
      <w:pPr>
        <w:numPr>
          <w:ilvl w:val="0"/>
          <w:numId w:val="2"/>
        </w:numPr>
        <w:shd w:val="clear"/>
        <w:ind w:left="0" w:leftChars="0" w:firstLine="0" w:firstLineChars="0"/>
        <w:jc w:val="both"/>
        <w:rPr>
          <w:rFonts w:hint="eastAsia"/>
          <w:b/>
          <w:bCs/>
          <w:sz w:val="36"/>
          <w:szCs w:val="44"/>
          <w:highlight w:val="none"/>
          <w:lang w:val="en-US" w:eastAsia="zh-CN"/>
        </w:rPr>
      </w:pPr>
      <w:r>
        <w:rPr>
          <w:rFonts w:hint="eastAsia"/>
          <w:b/>
          <w:bCs/>
          <w:sz w:val="36"/>
          <w:szCs w:val="44"/>
          <w:highlight w:val="none"/>
          <w:lang w:val="en-US" w:eastAsia="zh-CN"/>
        </w:rPr>
        <w:t>小球馆及首义体育馆包场</w:t>
      </w:r>
    </w:p>
    <w:tbl>
      <w:tblPr>
        <w:tblStyle w:val="3"/>
        <w:tblpPr w:leftFromText="180" w:rightFromText="180" w:vertAnchor="text" w:horzAnchor="page" w:tblpXSpec="center" w:tblpY="454"/>
        <w:tblOverlap w:val="never"/>
        <w:tblW w:w="14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312"/>
        <w:gridCol w:w="1725"/>
        <w:gridCol w:w="1625"/>
        <w:gridCol w:w="1863"/>
        <w:gridCol w:w="1550"/>
        <w:gridCol w:w="1650"/>
        <w:gridCol w:w="1712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240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场地名称</w:t>
            </w:r>
          </w:p>
        </w:tc>
        <w:tc>
          <w:tcPr>
            <w:tcW w:w="521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校内</w:t>
            </w:r>
          </w:p>
        </w:tc>
        <w:tc>
          <w:tcPr>
            <w:tcW w:w="491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校外</w:t>
            </w:r>
          </w:p>
        </w:tc>
        <w:tc>
          <w:tcPr>
            <w:tcW w:w="239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240" w:type="dxa"/>
            <w:gridSpan w:val="2"/>
            <w:vMerge w:val="continue"/>
            <w:vAlign w:val="center"/>
          </w:tcPr>
          <w:p>
            <w:pPr>
              <w:shd w:val="clear"/>
              <w:jc w:val="center"/>
              <w:rPr>
                <w:highlight w:val="none"/>
              </w:rPr>
            </w:pPr>
          </w:p>
        </w:tc>
        <w:tc>
          <w:tcPr>
            <w:tcW w:w="172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9:00-13:00</w:t>
            </w:r>
          </w:p>
        </w:tc>
        <w:tc>
          <w:tcPr>
            <w:tcW w:w="162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14:00-18:00</w:t>
            </w:r>
          </w:p>
        </w:tc>
        <w:tc>
          <w:tcPr>
            <w:tcW w:w="186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18:00-22:00</w:t>
            </w:r>
          </w:p>
        </w:tc>
        <w:tc>
          <w:tcPr>
            <w:tcW w:w="155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9:00-13:00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14:00-18:00</w:t>
            </w:r>
          </w:p>
        </w:tc>
        <w:tc>
          <w:tcPr>
            <w:tcW w:w="171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18:00-22:00</w:t>
            </w:r>
          </w:p>
        </w:tc>
        <w:tc>
          <w:tcPr>
            <w:tcW w:w="2395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2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小</w:t>
            </w:r>
          </w:p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球</w:t>
            </w:r>
          </w:p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馆</w:t>
            </w:r>
          </w:p>
        </w:tc>
        <w:tc>
          <w:tcPr>
            <w:tcW w:w="131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乒乓球</w:t>
            </w:r>
          </w:p>
        </w:tc>
        <w:tc>
          <w:tcPr>
            <w:tcW w:w="172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800</w:t>
            </w:r>
          </w:p>
        </w:tc>
        <w:tc>
          <w:tcPr>
            <w:tcW w:w="162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186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155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4000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5000</w:t>
            </w:r>
          </w:p>
        </w:tc>
        <w:tc>
          <w:tcPr>
            <w:tcW w:w="171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6000</w:t>
            </w:r>
          </w:p>
        </w:tc>
        <w:tc>
          <w:tcPr>
            <w:tcW w:w="239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元/单元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2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羽毛球</w:t>
            </w:r>
          </w:p>
        </w:tc>
        <w:tc>
          <w:tcPr>
            <w:tcW w:w="172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800</w:t>
            </w:r>
          </w:p>
        </w:tc>
        <w:tc>
          <w:tcPr>
            <w:tcW w:w="162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186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1600</w:t>
            </w:r>
          </w:p>
        </w:tc>
        <w:tc>
          <w:tcPr>
            <w:tcW w:w="155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4000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6000</w:t>
            </w:r>
          </w:p>
        </w:tc>
        <w:tc>
          <w:tcPr>
            <w:tcW w:w="171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8000</w:t>
            </w:r>
          </w:p>
        </w:tc>
        <w:tc>
          <w:tcPr>
            <w:tcW w:w="239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元/单元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2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网球</w:t>
            </w:r>
          </w:p>
        </w:tc>
        <w:tc>
          <w:tcPr>
            <w:tcW w:w="172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800</w:t>
            </w:r>
          </w:p>
        </w:tc>
        <w:tc>
          <w:tcPr>
            <w:tcW w:w="162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186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155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4000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5000</w:t>
            </w:r>
          </w:p>
        </w:tc>
        <w:tc>
          <w:tcPr>
            <w:tcW w:w="171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6000</w:t>
            </w:r>
          </w:p>
        </w:tc>
        <w:tc>
          <w:tcPr>
            <w:tcW w:w="239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元/单元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2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首义体育馆</w:t>
            </w:r>
          </w:p>
        </w:tc>
        <w:tc>
          <w:tcPr>
            <w:tcW w:w="172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800</w:t>
            </w:r>
          </w:p>
        </w:tc>
        <w:tc>
          <w:tcPr>
            <w:tcW w:w="162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186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155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4000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5000</w:t>
            </w:r>
          </w:p>
        </w:tc>
        <w:tc>
          <w:tcPr>
            <w:tcW w:w="171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6000</w:t>
            </w:r>
          </w:p>
        </w:tc>
        <w:tc>
          <w:tcPr>
            <w:tcW w:w="239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元/单元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760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Chars="0"/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备注说明：</w:t>
            </w:r>
          </w:p>
          <w:p>
            <w:pPr>
              <w:numPr>
                <w:ilvl w:val="0"/>
                <w:numId w:val="0"/>
              </w:numPr>
              <w:shd w:val="clear"/>
              <w:ind w:leftChars="0"/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1、以上体育馆在保障学校的大型活动、庆典外，其他学校各单位、学院（系）的活动实行租借服务，收费标准按照校内的收费标准，其中包含水电空调费用；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校外水电空调费用500元/小时。</w:t>
            </w:r>
          </w:p>
          <w:p>
            <w:pPr>
              <w:shd w:val="clear"/>
              <w:jc w:val="left"/>
              <w:rPr>
                <w:rFonts w:hint="default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以上费用是指包场的报价，单元时间是把一天分为三个单元，分别为上午8:00-12:00、下午14:00-18:00、晚上18:00-22:00三个单元。</w:t>
            </w:r>
          </w:p>
          <w:p>
            <w:pPr>
              <w:numPr>
                <w:ilvl w:val="0"/>
                <w:numId w:val="0"/>
              </w:numPr>
              <w:shd w:val="clear"/>
              <w:ind w:leftChars="0"/>
              <w:jc w:val="left"/>
              <w:rPr>
                <w:rFonts w:hint="eastAsia" w:ascii="仿宋_GB2312" w:eastAsia="仿宋_GB2312"/>
                <w:b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搭台、布场、彩排等活动需要提前进场，则按包场价的半价计算。</w:t>
            </w:r>
          </w:p>
          <w:p>
            <w:pPr>
              <w:numPr>
                <w:ilvl w:val="0"/>
                <w:numId w:val="0"/>
              </w:numPr>
              <w:shd w:val="clear"/>
              <w:jc w:val="left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hd w:val="clear"/>
        <w:ind w:leftChars="0"/>
        <w:jc w:val="both"/>
        <w:rPr>
          <w:rFonts w:hint="eastAsia"/>
          <w:sz w:val="21"/>
          <w:szCs w:val="24"/>
          <w:highlight w:val="none"/>
          <w:lang w:val="en-US" w:eastAsia="zh-CN"/>
        </w:rPr>
      </w:pPr>
    </w:p>
    <w:p>
      <w:pPr>
        <w:numPr>
          <w:ilvl w:val="0"/>
          <w:numId w:val="2"/>
        </w:numPr>
        <w:shd w:val="clear"/>
        <w:ind w:left="0" w:leftChars="0" w:firstLine="0" w:firstLineChars="0"/>
        <w:jc w:val="both"/>
        <w:rPr>
          <w:rFonts w:hint="default"/>
          <w:b/>
          <w:bCs/>
          <w:sz w:val="36"/>
          <w:szCs w:val="44"/>
          <w:highlight w:val="none"/>
          <w:lang w:val="en-US" w:eastAsia="zh-CN"/>
        </w:rPr>
      </w:pPr>
      <w:r>
        <w:rPr>
          <w:rFonts w:hint="eastAsia"/>
          <w:b/>
          <w:bCs/>
          <w:sz w:val="36"/>
          <w:szCs w:val="44"/>
          <w:highlight w:val="none"/>
          <w:lang w:val="en-US" w:eastAsia="zh-CN"/>
        </w:rPr>
        <w:t>小球馆及其他收费场地</w:t>
      </w:r>
    </w:p>
    <w:tbl>
      <w:tblPr>
        <w:tblStyle w:val="3"/>
        <w:tblW w:w="14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5"/>
        <w:gridCol w:w="1737"/>
        <w:gridCol w:w="1875"/>
        <w:gridCol w:w="1613"/>
        <w:gridCol w:w="2912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43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场地名称</w:t>
            </w: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场地类型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 xml:space="preserve">学生  </w:t>
            </w:r>
          </w:p>
        </w:tc>
        <w:tc>
          <w:tcPr>
            <w:tcW w:w="161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教师、员工</w:t>
            </w:r>
          </w:p>
        </w:tc>
        <w:tc>
          <w:tcPr>
            <w:tcW w:w="291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校外</w:t>
            </w:r>
          </w:p>
        </w:tc>
        <w:tc>
          <w:tcPr>
            <w:tcW w:w="3728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羽毛球场</w:t>
            </w: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室内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61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291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372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元/小时</w:t>
            </w:r>
          </w:p>
          <w:p>
            <w:pPr>
              <w:shd w:val="clear"/>
              <w:jc w:val="left"/>
              <w:rPr>
                <w:rFonts w:hint="eastAsia" w:ascii="仿宋_GB2312" w:eastAsia="仿宋_GB2312"/>
                <w:b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备注：</w:t>
            </w:r>
          </w:p>
          <w:p>
            <w:pPr>
              <w:shd w:val="clear"/>
              <w:jc w:val="left"/>
              <w:rPr>
                <w:rFonts w:hint="default" w:ascii="仿宋_GB2312" w:eastAsia="仿宋_GB2312"/>
                <w:b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小球馆开空调期间加收费用</w:t>
            </w:r>
          </w:p>
          <w:p>
            <w:pPr>
              <w:shd w:val="clear"/>
              <w:jc w:val="left"/>
              <w:rPr>
                <w:rFonts w:hint="default" w:ascii="仿宋_GB2312" w:eastAsia="仿宋_GB2312"/>
                <w:b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网球：159/3=50元/片/小时</w:t>
            </w:r>
          </w:p>
          <w:p>
            <w:pPr>
              <w:shd w:val="clear"/>
              <w:jc w:val="left"/>
              <w:rPr>
                <w:rFonts w:hint="eastAsia" w:ascii="仿宋_GB2312" w:eastAsia="仿宋_GB2312"/>
                <w:b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羽毛球：159/12=13元/片/小时</w:t>
            </w:r>
          </w:p>
          <w:p>
            <w:pPr>
              <w:numPr>
                <w:ilvl w:val="0"/>
                <w:numId w:val="0"/>
              </w:numPr>
              <w:shd w:val="clear"/>
              <w:jc w:val="left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乒乓球：159/50=3元/片/小时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网球场</w:t>
            </w: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室内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61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291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120</w:t>
            </w:r>
          </w:p>
        </w:tc>
        <w:tc>
          <w:tcPr>
            <w:tcW w:w="372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室外白天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61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91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372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室外灯光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61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291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372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乒乓球场</w:t>
            </w: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室内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1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91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372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游泳池</w:t>
            </w: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室外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61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91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3728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元/1.5小时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43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篮球场（包场）</w:t>
            </w: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艺体室内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400</w:t>
            </w:r>
          </w:p>
        </w:tc>
        <w:tc>
          <w:tcPr>
            <w:tcW w:w="161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800</w:t>
            </w:r>
          </w:p>
        </w:tc>
        <w:tc>
          <w:tcPr>
            <w:tcW w:w="291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3728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highlight w:val="none"/>
                <w:vertAlign w:val="baseline"/>
                <w:lang w:val="en-US" w:eastAsia="zh-CN"/>
              </w:rPr>
              <w:t>元/2小时</w:t>
            </w:r>
          </w:p>
          <w:p>
            <w:pPr>
              <w:shd w:val="clear"/>
              <w:jc w:val="both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备注：另收取空调费用1500元/小时。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南湖体育馆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200</w:t>
            </w:r>
          </w:p>
        </w:tc>
        <w:tc>
          <w:tcPr>
            <w:tcW w:w="161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400</w:t>
            </w:r>
          </w:p>
        </w:tc>
        <w:tc>
          <w:tcPr>
            <w:tcW w:w="291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3728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元/2小时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首义体育馆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200</w:t>
            </w:r>
          </w:p>
        </w:tc>
        <w:tc>
          <w:tcPr>
            <w:tcW w:w="161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400</w:t>
            </w:r>
          </w:p>
        </w:tc>
        <w:tc>
          <w:tcPr>
            <w:tcW w:w="291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3728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元/2小时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篮球个人</w:t>
            </w: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室外篮球场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61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291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3728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元/小时</w:t>
            </w:r>
          </w:p>
        </w:tc>
      </w:tr>
    </w:tbl>
    <w:tbl>
      <w:tblPr>
        <w:tblStyle w:val="3"/>
        <w:tblpPr w:leftFromText="180" w:rightFromText="180" w:vertAnchor="text" w:horzAnchor="page" w:tblpX="1435" w:tblpY="182"/>
        <w:tblOverlap w:val="never"/>
        <w:tblW w:w="14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3"/>
        <w:gridCol w:w="2222"/>
        <w:gridCol w:w="1935"/>
        <w:gridCol w:w="2130"/>
        <w:gridCol w:w="2381"/>
        <w:gridCol w:w="2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场地名称</w:t>
            </w:r>
          </w:p>
        </w:tc>
        <w:tc>
          <w:tcPr>
            <w:tcW w:w="222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场地类型</w:t>
            </w:r>
          </w:p>
        </w:tc>
        <w:tc>
          <w:tcPr>
            <w:tcW w:w="193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 xml:space="preserve">学生  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教师、员工</w:t>
            </w:r>
          </w:p>
        </w:tc>
        <w:tc>
          <w:tcPr>
            <w:tcW w:w="2381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校外</w:t>
            </w:r>
          </w:p>
        </w:tc>
        <w:tc>
          <w:tcPr>
            <w:tcW w:w="2859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足球场（包场）</w:t>
            </w:r>
          </w:p>
        </w:tc>
        <w:tc>
          <w:tcPr>
            <w:tcW w:w="222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七人制白天</w:t>
            </w:r>
          </w:p>
        </w:tc>
        <w:tc>
          <w:tcPr>
            <w:tcW w:w="193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120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240</w:t>
            </w:r>
          </w:p>
        </w:tc>
        <w:tc>
          <w:tcPr>
            <w:tcW w:w="2381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600</w:t>
            </w:r>
          </w:p>
        </w:tc>
        <w:tc>
          <w:tcPr>
            <w:tcW w:w="2859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元/2小时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2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七人制灯光</w:t>
            </w:r>
          </w:p>
        </w:tc>
        <w:tc>
          <w:tcPr>
            <w:tcW w:w="193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200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400</w:t>
            </w:r>
          </w:p>
        </w:tc>
        <w:tc>
          <w:tcPr>
            <w:tcW w:w="2381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2859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元/2小时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2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五人制白天</w:t>
            </w:r>
          </w:p>
        </w:tc>
        <w:tc>
          <w:tcPr>
            <w:tcW w:w="193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120</w:t>
            </w:r>
          </w:p>
        </w:tc>
        <w:tc>
          <w:tcPr>
            <w:tcW w:w="2381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300</w:t>
            </w:r>
          </w:p>
        </w:tc>
        <w:tc>
          <w:tcPr>
            <w:tcW w:w="2859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元/2小时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2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五人制灯光</w:t>
            </w:r>
          </w:p>
        </w:tc>
        <w:tc>
          <w:tcPr>
            <w:tcW w:w="193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200</w:t>
            </w:r>
          </w:p>
        </w:tc>
        <w:tc>
          <w:tcPr>
            <w:tcW w:w="2381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500</w:t>
            </w:r>
          </w:p>
        </w:tc>
        <w:tc>
          <w:tcPr>
            <w:tcW w:w="2859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元/2小时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足球场个人</w:t>
            </w:r>
          </w:p>
        </w:tc>
        <w:tc>
          <w:tcPr>
            <w:tcW w:w="222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白天</w:t>
            </w:r>
          </w:p>
        </w:tc>
        <w:tc>
          <w:tcPr>
            <w:tcW w:w="193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2381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859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22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灯光球场</w:t>
            </w:r>
          </w:p>
        </w:tc>
        <w:tc>
          <w:tcPr>
            <w:tcW w:w="193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2381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859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体操馆</w:t>
            </w:r>
          </w:p>
        </w:tc>
        <w:tc>
          <w:tcPr>
            <w:tcW w:w="2222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300</w:t>
            </w:r>
          </w:p>
        </w:tc>
        <w:tc>
          <w:tcPr>
            <w:tcW w:w="2859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田径馆</w:t>
            </w:r>
          </w:p>
        </w:tc>
        <w:tc>
          <w:tcPr>
            <w:tcW w:w="2222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500</w:t>
            </w:r>
          </w:p>
        </w:tc>
        <w:tc>
          <w:tcPr>
            <w:tcW w:w="2859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艺术体操房</w:t>
            </w:r>
          </w:p>
        </w:tc>
        <w:tc>
          <w:tcPr>
            <w:tcW w:w="2222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500</w:t>
            </w:r>
          </w:p>
        </w:tc>
        <w:tc>
          <w:tcPr>
            <w:tcW w:w="2859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瑜伽馆</w:t>
            </w:r>
          </w:p>
        </w:tc>
        <w:tc>
          <w:tcPr>
            <w:tcW w:w="2222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500</w:t>
            </w:r>
          </w:p>
        </w:tc>
        <w:tc>
          <w:tcPr>
            <w:tcW w:w="2859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健身房</w:t>
            </w:r>
          </w:p>
        </w:tc>
        <w:tc>
          <w:tcPr>
            <w:tcW w:w="2222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2859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跆拳道馆</w:t>
            </w:r>
          </w:p>
        </w:tc>
        <w:tc>
          <w:tcPr>
            <w:tcW w:w="2222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300</w:t>
            </w:r>
          </w:p>
        </w:tc>
        <w:tc>
          <w:tcPr>
            <w:tcW w:w="2859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武术散打馆</w:t>
            </w:r>
          </w:p>
        </w:tc>
        <w:tc>
          <w:tcPr>
            <w:tcW w:w="2222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500</w:t>
            </w:r>
          </w:p>
        </w:tc>
        <w:tc>
          <w:tcPr>
            <w:tcW w:w="2859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各场馆商业广告</w:t>
            </w:r>
          </w:p>
        </w:tc>
        <w:tc>
          <w:tcPr>
            <w:tcW w:w="2222" w:type="dxa"/>
            <w:vAlign w:val="center"/>
          </w:tcPr>
          <w:p>
            <w:pPr>
              <w:shd w:val="clear"/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围网广告、指示牌、滚动屏等</w:t>
            </w:r>
          </w:p>
        </w:tc>
        <w:tc>
          <w:tcPr>
            <w:tcW w:w="930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根据场馆实际情况与市场行情双方协商或招投标形式，最终以合同价为准</w:t>
            </w:r>
          </w:p>
        </w:tc>
      </w:tr>
    </w:tbl>
    <w:p>
      <w:pPr>
        <w:shd w:val="clear"/>
        <w:rPr>
          <w:highlight w:val="none"/>
        </w:rPr>
      </w:pPr>
    </w:p>
    <w:p>
      <w:pPr>
        <w:numPr>
          <w:ilvl w:val="0"/>
          <w:numId w:val="0"/>
        </w:numPr>
        <w:shd w:val="clear"/>
        <w:jc w:val="both"/>
        <w:rPr>
          <w:rFonts w:hint="default"/>
          <w:sz w:val="36"/>
          <w:szCs w:val="44"/>
          <w:highlight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529F43"/>
    <w:multiLevelType w:val="singleLevel"/>
    <w:tmpl w:val="B1529F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98385D"/>
    <w:multiLevelType w:val="singleLevel"/>
    <w:tmpl w:val="069838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B29AE"/>
    <w:rsid w:val="047323CB"/>
    <w:rsid w:val="0518487B"/>
    <w:rsid w:val="059E2B82"/>
    <w:rsid w:val="06A24A49"/>
    <w:rsid w:val="091129E0"/>
    <w:rsid w:val="119D236B"/>
    <w:rsid w:val="11D76705"/>
    <w:rsid w:val="127245DF"/>
    <w:rsid w:val="1612316C"/>
    <w:rsid w:val="17202876"/>
    <w:rsid w:val="24DF4D16"/>
    <w:rsid w:val="280021EE"/>
    <w:rsid w:val="2FBD3D9E"/>
    <w:rsid w:val="33FE72D7"/>
    <w:rsid w:val="3463447F"/>
    <w:rsid w:val="396F70D4"/>
    <w:rsid w:val="3C2B4F29"/>
    <w:rsid w:val="3C7C2369"/>
    <w:rsid w:val="43F147AC"/>
    <w:rsid w:val="447E6422"/>
    <w:rsid w:val="47C32332"/>
    <w:rsid w:val="4B3B2044"/>
    <w:rsid w:val="4FA602E2"/>
    <w:rsid w:val="564A7936"/>
    <w:rsid w:val="58756616"/>
    <w:rsid w:val="5E751ADB"/>
    <w:rsid w:val="5EC57DD2"/>
    <w:rsid w:val="6CC761CC"/>
    <w:rsid w:val="70C25D0D"/>
    <w:rsid w:val="71021D72"/>
    <w:rsid w:val="75461048"/>
    <w:rsid w:val="78620C8B"/>
    <w:rsid w:val="7DAD7BB1"/>
    <w:rsid w:val="7DF3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2019-05-19T08:59:00Z</dcterms:created>
  <dc:creator>侯彩蛟</dc:creator>
  <cp:lastModifiedBy>侯彩蛟</cp:lastModifiedBy>
  <cp:lastPrinted>2019-06-11T09:42:00Z</cp:lastPrinted>
  <dcterms:modified xsi:type="dcterms:W3CDTF">2019-08-26T07:48:42Z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